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Josef Haydn (1732-1809) String Quartet Op. 74 No.1 in C (1793)</w:t>
      </w:r>
    </w:p>
    <w:p>
      <w:pPr>
        <w:spacing w:after="0" w:line="3"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w:t>
      </w:r>
    </w:p>
    <w:p>
      <w:pPr>
        <w:spacing w:after="0"/>
        <w:rPr>
          <w:sz w:val="20"/>
          <w:szCs w:val="20"/>
          <w:color w:val="auto"/>
        </w:rPr>
      </w:pPr>
      <w:r>
        <w:rPr>
          <w:rFonts w:ascii="Arial" w:cs="Arial" w:eastAsia="Arial" w:hAnsi="Arial"/>
          <w:sz w:val="24"/>
          <w:szCs w:val="24"/>
          <w:i w:val="1"/>
          <w:iCs w:val="1"/>
          <w:color w:val="auto"/>
        </w:rPr>
        <w:t>Andantino grazioso</w:t>
      </w:r>
    </w:p>
    <w:p>
      <w:pPr>
        <w:spacing w:after="0"/>
        <w:rPr>
          <w:sz w:val="20"/>
          <w:szCs w:val="20"/>
          <w:color w:val="auto"/>
        </w:rPr>
      </w:pPr>
      <w:r>
        <w:rPr>
          <w:rFonts w:ascii="Arial" w:cs="Arial" w:eastAsia="Arial" w:hAnsi="Arial"/>
          <w:sz w:val="24"/>
          <w:szCs w:val="24"/>
          <w:i w:val="1"/>
          <w:iCs w:val="1"/>
          <w:color w:val="auto"/>
        </w:rPr>
        <w:t>Menuet &amp; Trio</w:t>
      </w:r>
    </w:p>
    <w:p>
      <w:pPr>
        <w:spacing w:after="0"/>
        <w:rPr>
          <w:sz w:val="20"/>
          <w:szCs w:val="20"/>
          <w:color w:val="auto"/>
        </w:rPr>
      </w:pPr>
      <w:r>
        <w:rPr>
          <w:rFonts w:ascii="Arial" w:cs="Arial" w:eastAsia="Arial" w:hAnsi="Arial"/>
          <w:sz w:val="24"/>
          <w:szCs w:val="24"/>
          <w:i w:val="1"/>
          <w:iCs w:val="1"/>
          <w:color w:val="auto"/>
        </w:rPr>
        <w:t>Finale: Vivace</w:t>
      </w:r>
    </w:p>
    <w:p>
      <w:pPr>
        <w:spacing w:after="0" w:line="274" w:lineRule="exact"/>
        <w:rPr>
          <w:sz w:val="24"/>
          <w:szCs w:val="24"/>
          <w:color w:val="auto"/>
        </w:rPr>
      </w:pPr>
    </w:p>
    <w:p>
      <w:pPr>
        <w:spacing w:after="0" w:line="242" w:lineRule="auto"/>
        <w:rPr>
          <w:sz w:val="20"/>
          <w:szCs w:val="20"/>
          <w:color w:val="auto"/>
        </w:rPr>
      </w:pPr>
      <w:r>
        <w:rPr>
          <w:rFonts w:ascii="Arial" w:cs="Arial" w:eastAsia="Arial" w:hAnsi="Arial"/>
          <w:sz w:val="24"/>
          <w:szCs w:val="24"/>
          <w:color w:val="auto"/>
        </w:rPr>
        <w:t>Haydn’s six 'Apponyi' quartets (Op 71 and 74) were written in 1792 &amp; 1793 between his two extended visits to London. Prince Nicholas Esterházy, Haydn’s patron to whom he was devoted, had died in the autumn of 1790. His successor, Prince Anton, did not care for music and disbanded the Esterházy orchestra, for whom Haydn had composed for the previous 30 or so years. However, he did keep Haydn on, on full pay, with only nominal duties. Haydn was thus free to apply for leave to accept Johann Peter Salomon’s offer to spend a year in London (against Mozart’s advice, who thought the 58 year-old master too old for such jaunts). London's crowded, vibrant musical scene challenged and exhilarated Haydn, and his six new 'London' symphonies, written for a larger orchestra, hall and audience than at Esterházy, were a sensation. Haydn returned home in the summer of 1792, to a Vienna without Mozart, who had died in December just short of his 36th birthday. The eponymous Apponyi, Count Anton Georg, was a relative of the Esterházys, and paid Haydn 100 ducats for the privilege of having the six quartets publicly dedicated to him. The quartets of the set have a power and brilliance that reflect Haydn’s experience with the London orchestras and his intention to take the quartets back to his London audience.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2118360</wp:posOffset>
            </wp:positionH>
            <wp:positionV relativeFrom="paragraph">
              <wp:posOffset>-95250</wp:posOffset>
            </wp:positionV>
            <wp:extent cx="4377690" cy="720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4377690" cy="720090"/>
                    </a:xfrm>
                    <a:prstGeom prst="rect">
                      <a:avLst/>
                    </a:prstGeom>
                    <a:noFill/>
                  </pic:spPr>
                </pic:pic>
              </a:graphicData>
            </a:graphic>
          </wp:anchor>
        </w:drawing>
      </w:r>
    </w:p>
    <w:p>
      <w:pPr>
        <w:spacing w:after="0" w:line="220" w:lineRule="exact"/>
        <w:rPr>
          <w:sz w:val="24"/>
          <w:szCs w:val="24"/>
          <w:color w:val="auto"/>
        </w:rPr>
      </w:pPr>
    </w:p>
    <w:p>
      <w:pPr>
        <w:ind w:right="6320"/>
        <w:spacing w:after="0"/>
        <w:rPr>
          <w:sz w:val="20"/>
          <w:szCs w:val="20"/>
          <w:color w:val="auto"/>
        </w:rPr>
      </w:pPr>
      <w:r>
        <w:rPr>
          <w:rFonts w:ascii="Arial" w:cs="Arial" w:eastAsia="Arial" w:hAnsi="Arial"/>
          <w:sz w:val="24"/>
          <w:szCs w:val="24"/>
          <w:color w:val="auto"/>
        </w:rPr>
        <w:t>Like the three preceding Op 71 quartets, this quartet opens with a short introduction:</w:t>
      </w:r>
    </w:p>
    <w:p>
      <w:pPr>
        <w:ind w:right="100"/>
        <w:spacing w:after="0"/>
        <w:rPr>
          <w:sz w:val="20"/>
          <w:szCs w:val="20"/>
          <w:color w:val="auto"/>
        </w:rPr>
      </w:pPr>
      <w:r>
        <w:rPr>
          <w:rFonts w:ascii="Arial" w:cs="Arial" w:eastAsia="Arial" w:hAnsi="Arial"/>
          <w:sz w:val="24"/>
          <w:szCs w:val="24"/>
          <w:color w:val="auto"/>
        </w:rPr>
        <w:t>apparently a simple C-major cadence establishing the key. But its importance turns out to be melodic rather than harmonic as its ascending B-C</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3802380</wp:posOffset>
            </wp:positionH>
            <wp:positionV relativeFrom="paragraph">
              <wp:posOffset>-110490</wp:posOffset>
            </wp:positionV>
            <wp:extent cx="2603500" cy="13474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603500" cy="1347470"/>
                    </a:xfrm>
                    <a:prstGeom prst="rect">
                      <a:avLst/>
                    </a:prstGeom>
                    <a:noFill/>
                  </pic:spPr>
                </pic:pic>
              </a:graphicData>
            </a:graphic>
          </wp:anchor>
        </w:drawing>
      </w:r>
    </w:p>
    <w:p>
      <w:pPr>
        <w:ind w:right="3620"/>
        <w:spacing w:after="0" w:line="247" w:lineRule="auto"/>
        <w:rPr>
          <w:sz w:val="20"/>
          <w:szCs w:val="20"/>
          <w:color w:val="auto"/>
        </w:rPr>
      </w:pPr>
      <w:r>
        <w:rPr>
          <w:rFonts w:ascii="Arial" w:cs="Arial" w:eastAsia="Arial" w:hAnsi="Arial"/>
          <w:sz w:val="24"/>
          <w:szCs w:val="24"/>
          <w:color w:val="auto"/>
        </w:rPr>
        <w:t>semitone sequence breeds no fewer than 6 ascending semitones in the following Allegro theme. Haydn's love of thematic integrity also appears in the Trio's echoing of the Menuet's rising theme. The same rising figure moulds the theme for the brilliant fugally-developed Finale.</w:t>
      </w:r>
    </w:p>
    <w:sectPr>
      <w:pgSz w:w="11900" w:h="16837" w:orient="portrait"/>
      <w:cols w:equalWidth="0" w:num="1">
        <w:col w:w="9600"/>
      </w:cols>
      <w:pgMar w:left="1140" w:top="1110" w:right="116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2025-01-18T11:04:55Z</dcterms:created>
  <dcterms:modified xsi:type="dcterms:W3CDTF">2025-01-18T11:04:55Z</dcterms:modified>
</cp:coreProperties>
</file>