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Benjamin Britten (1913-1976) Canticle III 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Still falls the rain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Op 55 (1954)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 w:line="24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Britten's third Canticle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Still Falls the Rain (The Raids, 1940, Night and Dawn)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 a setting for tenor, horn and piano, of a poem by Edith Sitwell. Britten wrote it in 1954 shortly after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The Turn of the Screw</w:t>
      </w:r>
      <w:r>
        <w:rPr>
          <w:rFonts w:ascii="Arial" w:cs="Arial" w:eastAsia="Arial" w:hAnsi="Arial"/>
          <w:sz w:val="24"/>
          <w:szCs w:val="24"/>
          <w:color w:val="auto"/>
        </w:rPr>
        <w:t>, and it was first performed by Peter Pears, Dennis Brain and Britten at the Wigmore Hall the following year in a memorial concert for Noel Mewton-Wood, to whom it is dedicated. Newton-Wood was a brilliant young Australian pianist, friend of Britten and accompanist to Pears, who had recently committed suicide, blaming himself for the death of his manager and lover Bill Fedricks from appendicitis.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right="34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Edith Sitwell was overwhelmed by the first performance and subsequently collaborated with Britten on a work for the 1956 Aldeburgh Festival centered on the third Canticle but flanked by readings and three further settings by Britten of her poetry. The event was called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“The Heart of the Matter”.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right="6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The self-consciously shocking, sardonic world of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Façade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 far from that of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Still Falls the Rain</w:t>
      </w:r>
      <w:r>
        <w:rPr>
          <w:rFonts w:ascii="Arial" w:cs="Arial" w:eastAsia="Arial" w:hAnsi="Arial"/>
          <w:sz w:val="24"/>
          <w:szCs w:val="24"/>
          <w:color w:val="auto"/>
        </w:rPr>
        <w:t>, one of Sitwell's most substantial poems. Here the crucifixion is a powerful metaphor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for the Blitz, and man's perennial culpability: “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Blind as the nineteen hundred and forty nails / Upon the Cross</w:t>
      </w:r>
      <w:r>
        <w:rPr>
          <w:rFonts w:ascii="Arial" w:cs="Arial" w:eastAsia="Arial" w:hAnsi="Arial"/>
          <w:sz w:val="24"/>
          <w:szCs w:val="24"/>
          <w:color w:val="auto"/>
        </w:rPr>
        <w:t>”.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right="40"/>
        <w:spacing w:after="0" w:line="24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Canticle consists of six variations on a theme that contains all twelve chromatic pitches. The first five variations are for piano and horn, with the tenor declaiming Sitwell's verses. The final variation is introduced by a quotation from Dr Faustus (“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O Ile leape up to my God: who pulles me doune”)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in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Sprachgesang –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speech-rate articulation but with the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intonation of steady musical pitches. The tenor joins the horn and piano for the coda representing the voice of God: "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Still do I love, still shed my innocent light, my Blood, for thee</w:t>
      </w:r>
      <w:r>
        <w:rPr>
          <w:rFonts w:ascii="Arial" w:cs="Arial" w:eastAsia="Arial" w:hAnsi="Arial"/>
          <w:sz w:val="24"/>
          <w:szCs w:val="24"/>
          <w:color w:val="auto"/>
        </w:rPr>
        <w:t>."</w:t>
      </w:r>
    </w:p>
    <w:sectPr>
      <w:pgSz w:w="11900" w:h="16840" w:orient="portrait"/>
      <w:cols w:equalWidth="0" w:num="1">
        <w:col w:w="9620"/>
      </w:cols>
      <w:pgMar w:left="1140" w:top="1110" w:right="11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2025-01-18T11:02:28Z</dcterms:created>
  <dcterms:modified xsi:type="dcterms:W3CDTF">2025-01-18T11:02:28Z</dcterms:modified>
</cp:coreProperties>
</file>