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Programme notes by Chris Darwin.  Use freely for non-commercial purposes.</w:t>
      </w:r>
    </w:p>
    <w:p>
      <w:pPr>
        <w:pStyle w:val="Normal"/>
        <w:bidi w:val="0"/>
        <w:jc w:val="star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star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Dmitri Shostakovich (1906-75) </w:t>
      </w:r>
      <w:r>
        <w:rPr>
          <w:rFonts w:ascii="Arial" w:hAnsi="Arial"/>
          <w:b/>
          <w:bCs/>
          <w:sz w:val="24"/>
          <w:szCs w:val="24"/>
        </w:rPr>
        <w:t>String Quartet No 10 Op 118 in A-flat (196</w:t>
      </w:r>
      <w:r>
        <w:rPr>
          <w:rFonts w:ascii="Arial" w:hAnsi="Arial"/>
          <w:b/>
          <w:bCs/>
          <w:sz w:val="24"/>
          <w:szCs w:val="24"/>
        </w:rPr>
        <w:t>4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Andante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Allegretto furioso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Adagio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Allegretto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In contrast to his fifteen symphonies,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which were very public and closely monitored by the state,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Shostakovich’s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 quartets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allowed for more intimate, personal expression,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particularly when he writes for a single voice against an often sparse background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. 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T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he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quartets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are essentially dramatic.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“There’s an opening, the lights come up. 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Often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things start in a Chekhovian way, without too much conflict, with people discussing inanities – innocently unfolding.”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(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Philip Setzer of the Emerson Quartet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).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But a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s with Chekhov, conflict subsequently breaks through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as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in the second movements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of the tenth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quartet.  The apparent calm of the opening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s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may return towards the end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of the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quartets,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but enigmatically transformed.</w:t>
      </w:r>
    </w:p>
    <w:p>
      <w:pPr>
        <w:pStyle w:val="Normal"/>
        <w:bidi w:val="0"/>
        <w:jc w:val="start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Shostakovich’s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tenth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quartet is dedicated to Mieczysław Weinberg. Born in Poland to Jewish parents, Weinberg fled to the Soviet Union at the outbreak of 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the second world war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and shortly afterwards met Shostakovich.  They became very close friends, sharing compositions and political outlook.  Weinberg was very important to Shostakovich and a letter from him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to Beria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probably saved Weinberg from being executed by the state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on trumped-up charges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.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They had a bet as to who would complete the most quartets; until this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tenth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quartet they were at nine all, so the dedication to Weinberg has a touch of competitive edge to it.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The quartet is “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>at once Shostakovich’s harshest string quartet and his friendliest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” (Wendy Lesser).  It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has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the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peaceful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Chekov-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like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opening mentioned above with a solo violin being reassured after a dozen bars by three repeated notes from its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friendly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fellows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(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>illustrated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)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. </w:t>
      </w: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2753360</wp:posOffset>
            </wp:positionH>
            <wp:positionV relativeFrom="paragraph">
              <wp:posOffset>5080</wp:posOffset>
            </wp:positionV>
            <wp:extent cx="3331845" cy="116776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1167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But the first movement introduces an 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>Allegretto furioso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of unequalled and unrelenting fury –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the first half consistently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ff,</w:t>
      </w:r>
      <w:r>
        <w:rPr>
          <w:rFonts w:ascii="Arial" w:hAnsi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the second consistently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fff. 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The more autobiographical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eighth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quartet has a similarly angry second movement but there the fury is relieved by something a little lighter.  Perhaps injustice to one’s friends is harder to come to terms with than injustice to on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e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self.  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3308350</wp:posOffset>
            </wp:positionH>
            <wp:positionV relativeFrom="paragraph">
              <wp:posOffset>69215</wp:posOffset>
            </wp:positionV>
            <wp:extent cx="3272790" cy="657225"/>
            <wp:effectExtent l="0" t="0" r="0" b="0"/>
            <wp:wrapSquare wrapText="largest"/>
            <wp:docPr id="2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79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There follows a Passacaglia on a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9-bar theme announced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ff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on the cello (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>illustrated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). 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Its  eight graceful and calm variations lead directly into the jaunty 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>rondo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viola theme of the substantial last movement. 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The movement’s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uncomplicated nature does not last as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a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wide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range of preceding material  is revisited. 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Finally, the work’s opening theme returns in the cello, playing against the 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>rondo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 theme as the music fades away.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imSun" w:cs="Lucida 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LibreOffice/25.8.1.1$MacOSX_X86_64 LibreOffice_project/54047653041915e595ad4e45cccea684809c77b5</Application>
  <AppVersion>15.0000</AppVersion>
  <Pages>1</Pages>
  <Words>404</Words>
  <Characters>2209</Characters>
  <CharactersWithSpaces>2627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2025-11-19T14:41:15Z</dcterms:created>
  <dc:creator/>
  <dc:description/>
  <dc:language>en-GB</dc:language>
  <cp:lastModifiedBy/>
  <dcterms:modified xsi:type="dcterms:W3CDTF">2025-11-19T14:54:53Z</dcterms:modified>
  <cp:revision>1</cp:revision>
  <dc:subject/>
  <dc:title/>
</cp:coreProperties>
</file>