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38" w:orient="portrait"/>
          <w:cols w:equalWidth="0" w:num="1">
            <w:col w:w="10380"/>
          </w:cols>
          <w:pgMar w:left="800" w:top="924" w:right="726" w:bottom="810" w:gutter="0" w:footer="0" w:header="0"/>
        </w:sectPr>
      </w:pPr>
    </w:p>
    <w:p>
      <w:pPr>
        <w:spacing w:after="0" w:line="260" w:lineRule="exact"/>
        <w:rPr>
          <w:sz w:val="24"/>
          <w:szCs w:val="24"/>
          <w:color w:val="auto"/>
        </w:rPr>
      </w:pPr>
    </w:p>
    <w:p>
      <w:pPr>
        <w:ind w:left="640"/>
        <w:spacing w:after="0"/>
        <w:rPr>
          <w:sz w:val="20"/>
          <w:szCs w:val="20"/>
          <w:color w:val="auto"/>
        </w:rPr>
      </w:pPr>
      <w:r>
        <w:rPr>
          <w:rFonts w:ascii="Arial" w:cs="Arial" w:eastAsia="Arial" w:hAnsi="Arial"/>
          <w:sz w:val="24"/>
          <w:szCs w:val="24"/>
          <w:b w:val="1"/>
          <w:bCs w:val="1"/>
          <w:color w:val="auto"/>
        </w:rPr>
        <w:t>Wolfgang Amadeus Mozart (1756-1791) String Quartet in C major K.465</w:t>
      </w:r>
    </w:p>
    <w:p>
      <w:pPr>
        <w:spacing w:after="0" w:line="84" w:lineRule="exact"/>
        <w:rPr>
          <w:sz w:val="24"/>
          <w:szCs w:val="24"/>
          <w:color w:val="auto"/>
        </w:rPr>
      </w:pPr>
    </w:p>
    <w:p>
      <w:pPr>
        <w:ind w:left="640"/>
        <w:spacing w:after="0"/>
        <w:rPr>
          <w:sz w:val="20"/>
          <w:szCs w:val="20"/>
          <w:color w:val="auto"/>
        </w:rPr>
      </w:pPr>
      <w:r>
        <w:rPr>
          <w:rFonts w:ascii="Arial" w:cs="Arial" w:eastAsia="Arial" w:hAnsi="Arial"/>
          <w:sz w:val="24"/>
          <w:szCs w:val="24"/>
          <w:b w:val="1"/>
          <w:bCs w:val="1"/>
          <w:color w:val="auto"/>
        </w:rPr>
        <w:t>(</w:t>
      </w:r>
      <w:r>
        <w:rPr>
          <w:rFonts w:ascii="Arial" w:cs="Arial" w:eastAsia="Arial" w:hAnsi="Arial"/>
          <w:sz w:val="24"/>
          <w:szCs w:val="24"/>
          <w:b w:val="1"/>
          <w:bCs w:val="1"/>
          <w:i w:val="1"/>
          <w:iCs w:val="1"/>
          <w:color w:val="auto"/>
        </w:rPr>
        <w:t>Dissonance</w:t>
      </w:r>
      <w:r>
        <w:rPr>
          <w:rFonts w:ascii="Arial" w:cs="Arial" w:eastAsia="Arial" w:hAnsi="Arial"/>
          <w:sz w:val="24"/>
          <w:szCs w:val="24"/>
          <w:b w:val="1"/>
          <w:bCs w:val="1"/>
          <w:color w:val="auto"/>
        </w:rPr>
        <w:t>) (1785)</w:t>
      </w:r>
    </w:p>
    <w:p>
      <w:pPr>
        <w:spacing w:after="0" w:line="86" w:lineRule="exact"/>
        <w:rPr>
          <w:sz w:val="24"/>
          <w:szCs w:val="24"/>
          <w:color w:val="auto"/>
        </w:rPr>
      </w:pPr>
    </w:p>
    <w:p>
      <w:pPr>
        <w:ind w:left="640"/>
        <w:spacing w:after="0"/>
        <w:rPr>
          <w:sz w:val="20"/>
          <w:szCs w:val="20"/>
          <w:color w:val="auto"/>
        </w:rPr>
      </w:pPr>
      <w:r>
        <w:rPr>
          <w:rFonts w:ascii="Arial" w:cs="Arial" w:eastAsia="Arial" w:hAnsi="Arial"/>
          <w:sz w:val="24"/>
          <w:szCs w:val="24"/>
          <w:i w:val="1"/>
          <w:iCs w:val="1"/>
          <w:color w:val="auto"/>
        </w:rPr>
        <w:t>Adagio – Allegro</w:t>
      </w:r>
    </w:p>
    <w:p>
      <w:pPr>
        <w:spacing w:after="0" w:line="84" w:lineRule="exact"/>
        <w:rPr>
          <w:sz w:val="24"/>
          <w:szCs w:val="24"/>
          <w:color w:val="auto"/>
        </w:rPr>
      </w:pPr>
    </w:p>
    <w:p>
      <w:pPr>
        <w:ind w:left="640"/>
        <w:spacing w:after="0"/>
        <w:rPr>
          <w:sz w:val="20"/>
          <w:szCs w:val="20"/>
          <w:color w:val="auto"/>
        </w:rPr>
      </w:pPr>
      <w:r>
        <w:rPr>
          <w:rFonts w:ascii="Arial" w:cs="Arial" w:eastAsia="Arial" w:hAnsi="Arial"/>
          <w:sz w:val="24"/>
          <w:szCs w:val="24"/>
          <w:i w:val="1"/>
          <w:iCs w:val="1"/>
          <w:color w:val="auto"/>
        </w:rPr>
        <w:t>Andante cantabile</w:t>
      </w:r>
    </w:p>
    <w:p>
      <w:pPr>
        <w:spacing w:after="0" w:line="84" w:lineRule="exact"/>
        <w:rPr>
          <w:sz w:val="24"/>
          <w:szCs w:val="24"/>
          <w:color w:val="auto"/>
        </w:rPr>
      </w:pPr>
    </w:p>
    <w:p>
      <w:pPr>
        <w:ind w:left="640"/>
        <w:spacing w:after="0"/>
        <w:rPr>
          <w:sz w:val="20"/>
          <w:szCs w:val="20"/>
          <w:color w:val="auto"/>
        </w:rPr>
      </w:pPr>
      <w:r>
        <w:rPr>
          <w:rFonts w:ascii="Arial" w:cs="Arial" w:eastAsia="Arial" w:hAnsi="Arial"/>
          <w:sz w:val="24"/>
          <w:szCs w:val="24"/>
          <w:i w:val="1"/>
          <w:iCs w:val="1"/>
          <w:color w:val="auto"/>
        </w:rPr>
        <w:t>Menuetto &amp; Trio – Allegro</w:t>
      </w:r>
    </w:p>
    <w:p>
      <w:pPr>
        <w:spacing w:after="0" w:line="84" w:lineRule="exact"/>
        <w:rPr>
          <w:sz w:val="24"/>
          <w:szCs w:val="24"/>
          <w:color w:val="auto"/>
        </w:rPr>
      </w:pPr>
    </w:p>
    <w:p>
      <w:pPr>
        <w:ind w:left="640"/>
        <w:spacing w:after="0"/>
        <w:rPr>
          <w:sz w:val="20"/>
          <w:szCs w:val="20"/>
          <w:color w:val="auto"/>
        </w:rPr>
      </w:pPr>
      <w:r>
        <w:rPr>
          <w:rFonts w:ascii="Arial" w:cs="Arial" w:eastAsia="Arial" w:hAnsi="Arial"/>
          <w:sz w:val="24"/>
          <w:szCs w:val="24"/>
          <w:i w:val="1"/>
          <w:iCs w:val="1"/>
          <w:color w:val="auto"/>
        </w:rPr>
        <w:t>Allegro</w:t>
      </w:r>
    </w:p>
    <w:p>
      <w:pPr>
        <w:spacing w:after="0" w:line="200" w:lineRule="exact"/>
        <w:rPr>
          <w:sz w:val="24"/>
          <w:szCs w:val="24"/>
          <w:color w:val="auto"/>
        </w:rPr>
      </w:pPr>
    </w:p>
    <w:p>
      <w:pPr>
        <w:spacing w:after="0" w:line="242" w:lineRule="exact"/>
        <w:rPr>
          <w:sz w:val="24"/>
          <w:szCs w:val="24"/>
          <w:color w:val="auto"/>
        </w:rPr>
      </w:pPr>
    </w:p>
    <w:p>
      <w:pPr>
        <w:ind w:left="640" w:right="820"/>
        <w:spacing w:after="0" w:line="319" w:lineRule="auto"/>
        <w:rPr>
          <w:sz w:val="20"/>
          <w:szCs w:val="20"/>
          <w:color w:val="auto"/>
        </w:rPr>
      </w:pPr>
      <w:r>
        <w:rPr>
          <w:rFonts w:ascii="Arial" w:cs="Arial" w:eastAsia="Arial" w:hAnsi="Arial"/>
          <w:sz w:val="24"/>
          <w:szCs w:val="24"/>
          <w:color w:val="auto"/>
        </w:rPr>
        <w:t xml:space="preserve">Mozart’s “Dissonant” quartet is the last of the famous set of six quartets that Mozart dedicated to Haydn – the A major K.464 from this set was played earlier this season by the Chilingirian Quartet. The set was inspired by Haydn’s six Op 33 quartets that had appeared in 1782, encouraging Mozart to a </w:t>
      </w:r>
      <w:r>
        <w:rPr>
          <w:rFonts w:ascii="Arial" w:cs="Arial" w:eastAsia="Arial" w:hAnsi="Arial"/>
          <w:sz w:val="24"/>
          <w:szCs w:val="24"/>
          <w:i w:val="1"/>
          <w:iCs w:val="1"/>
          <w:color w:val="auto"/>
        </w:rPr>
        <w:t>“long and laborious study”</w:t>
      </w:r>
      <w:r>
        <w:rPr>
          <w:rFonts w:ascii="Arial" w:cs="Arial" w:eastAsia="Arial" w:hAnsi="Arial"/>
          <w:sz w:val="24"/>
          <w:szCs w:val="24"/>
          <w:color w:val="auto"/>
        </w:rPr>
        <w:t xml:space="preserve"> which eventually gave birth (between 1782 and 1785) to these </w:t>
      </w:r>
      <w:r>
        <w:rPr>
          <w:rFonts w:ascii="Arial" w:cs="Arial" w:eastAsia="Arial" w:hAnsi="Arial"/>
          <w:sz w:val="24"/>
          <w:szCs w:val="24"/>
          <w:i w:val="1"/>
          <w:iCs w:val="1"/>
          <w:color w:val="auto"/>
        </w:rPr>
        <w:t>“six sons”.</w:t>
      </w:r>
      <w:r>
        <w:rPr>
          <w:rFonts w:ascii="Arial" w:cs="Arial" w:eastAsia="Arial" w:hAnsi="Arial"/>
          <w:sz w:val="24"/>
          <w:szCs w:val="24"/>
          <w:color w:val="auto"/>
        </w:rPr>
        <w:t xml:space="preserve"> This last quartet of the six is the best known and, like the A major quartet, demonstrates how much Mozart had learned during his long study.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2745105</wp:posOffset>
            </wp:positionH>
            <wp:positionV relativeFrom="paragraph">
              <wp:posOffset>74930</wp:posOffset>
            </wp:positionV>
            <wp:extent cx="3429000" cy="19018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429000" cy="1901825"/>
                    </a:xfrm>
                    <a:prstGeom prst="rect">
                      <a:avLst/>
                    </a:prstGeom>
                    <a:noFill/>
                  </pic:spPr>
                </pic:pic>
              </a:graphicData>
            </a:graphic>
          </wp:anchor>
        </w:drawing>
      </w:r>
    </w:p>
    <w:p>
      <w:pPr>
        <w:spacing w:after="0" w:line="206" w:lineRule="exact"/>
        <w:rPr>
          <w:sz w:val="24"/>
          <w:szCs w:val="24"/>
          <w:color w:val="auto"/>
        </w:rPr>
      </w:pPr>
    </w:p>
    <w:p>
      <w:pPr>
        <w:ind w:left="640" w:right="6300"/>
        <w:spacing w:after="0" w:line="326" w:lineRule="auto"/>
        <w:rPr>
          <w:sz w:val="20"/>
          <w:szCs w:val="20"/>
          <w:color w:val="auto"/>
        </w:rPr>
      </w:pPr>
      <w:r>
        <w:rPr>
          <w:rFonts w:ascii="Arial" w:cs="Arial" w:eastAsia="Arial" w:hAnsi="Arial"/>
          <w:sz w:val="23"/>
          <w:szCs w:val="23"/>
          <w:color w:val="auto"/>
        </w:rPr>
        <w:t xml:space="preserve">The </w:t>
      </w:r>
      <w:r>
        <w:rPr>
          <w:rFonts w:ascii="Arial" w:cs="Arial" w:eastAsia="Arial" w:hAnsi="Arial"/>
          <w:sz w:val="23"/>
          <w:szCs w:val="23"/>
          <w:i w:val="1"/>
          <w:iCs w:val="1"/>
          <w:color w:val="auto"/>
        </w:rPr>
        <w:t>Dissonant</w:t>
      </w:r>
      <w:r>
        <w:rPr>
          <w:rFonts w:ascii="Arial" w:cs="Arial" w:eastAsia="Arial" w:hAnsi="Arial"/>
          <w:sz w:val="23"/>
          <w:szCs w:val="23"/>
          <w:color w:val="auto"/>
        </w:rPr>
        <w:t xml:space="preserve"> epithet refers to the extraordinary opening bars. The cello at first gives nothing away, pulsing on the tonic of the innocuous home key of C major. The viola enters on an A</w:t>
      </w:r>
      <w:r>
        <w:rPr>
          <w:rFonts w:ascii="Arial" w:cs="Arial" w:eastAsia="Arial" w:hAnsi="Arial"/>
          <w:sz w:val="23"/>
          <w:szCs w:val="23"/>
          <w:i w:val="1"/>
          <w:iCs w:val="1"/>
          <w:color w:val="auto"/>
        </w:rPr>
        <w:t>b</w:t>
      </w:r>
      <w:r>
        <w:rPr>
          <w:rFonts w:ascii="Arial" w:cs="Arial" w:eastAsia="Arial" w:hAnsi="Arial"/>
          <w:sz w:val="23"/>
          <w:szCs w:val="23"/>
          <w:color w:val="auto"/>
        </w:rPr>
        <w:t xml:space="preserve"> and the second violin on an E</w:t>
      </w:r>
      <w:r>
        <w:rPr>
          <w:rFonts w:ascii="Arial" w:cs="Arial" w:eastAsia="Arial" w:hAnsi="Arial"/>
          <w:sz w:val="23"/>
          <w:szCs w:val="23"/>
          <w:i w:val="1"/>
          <w:iCs w:val="1"/>
          <w:color w:val="auto"/>
        </w:rPr>
        <w:t>b</w:t>
      </w:r>
      <w:r>
        <w:rPr>
          <w:rFonts w:ascii="Arial" w:cs="Arial" w:eastAsia="Arial" w:hAnsi="Arial"/>
          <w:sz w:val="23"/>
          <w:szCs w:val="23"/>
          <w:color w:val="auto"/>
        </w:rPr>
        <w:t>, making an A</w:t>
      </w:r>
      <w:r>
        <w:rPr>
          <w:rFonts w:ascii="Arial" w:cs="Arial" w:eastAsia="Arial" w:hAnsi="Arial"/>
          <w:sz w:val="23"/>
          <w:szCs w:val="23"/>
          <w:i w:val="1"/>
          <w:iCs w:val="1"/>
          <w:color w:val="auto"/>
        </w:rPr>
        <w:t>b</w:t>
      </w:r>
      <w:r>
        <w:rPr>
          <w:rFonts w:ascii="Arial" w:cs="Arial" w:eastAsia="Arial" w:hAnsi="Arial"/>
          <w:sz w:val="23"/>
          <w:szCs w:val="23"/>
          <w:color w:val="auto"/>
        </w:rPr>
        <w:t xml:space="preserve"> major chord and </w:t>
      </w:r>
      <w:r>
        <w:rPr>
          <w:rFonts w:ascii="Arial" w:cs="Arial" w:eastAsia="Arial" w:hAnsi="Arial"/>
          <w:sz w:val="23"/>
          <w:szCs w:val="23"/>
          <w:i w:val="1"/>
          <w:iCs w:val="1"/>
          <w:color w:val="auto"/>
        </w:rPr>
        <w:t>then</w:t>
      </w:r>
      <w:r>
        <w:rPr>
          <w:rFonts w:ascii="Arial" w:cs="Arial" w:eastAsia="Arial" w:hAnsi="Arial"/>
          <w:sz w:val="23"/>
          <w:szCs w:val="23"/>
          <w:color w:val="auto"/>
        </w:rPr>
        <w:t xml:space="preserve"> the first violin comes in a</w:t>
      </w:r>
    </w:p>
    <w:p>
      <w:pPr>
        <w:spacing w:after="0" w:line="7" w:lineRule="exact"/>
        <w:rPr>
          <w:sz w:val="24"/>
          <w:szCs w:val="24"/>
          <w:color w:val="auto"/>
        </w:rPr>
      </w:pPr>
    </w:p>
    <w:p>
      <w:pPr>
        <w:ind w:left="640" w:right="860"/>
        <w:spacing w:after="0" w:line="302" w:lineRule="auto"/>
        <w:rPr>
          <w:sz w:val="20"/>
          <w:szCs w:val="20"/>
          <w:color w:val="auto"/>
        </w:rPr>
      </w:pPr>
      <w:r>
        <w:rPr>
          <w:rFonts w:ascii="Arial" w:cs="Arial" w:eastAsia="Arial" w:hAnsi="Arial"/>
          <w:sz w:val="24"/>
          <w:szCs w:val="24"/>
          <w:color w:val="auto"/>
        </w:rPr>
        <w:t xml:space="preserve">semitone too high on an A </w:t>
      </w:r>
      <w:r>
        <w:rPr>
          <w:rFonts w:ascii="Arial" w:cs="Arial" w:eastAsia="Arial" w:hAnsi="Arial"/>
          <w:sz w:val="24"/>
          <w:szCs w:val="24"/>
          <w:u w:val="single" w:color="auto"/>
          <w:color w:val="auto"/>
        </w:rPr>
        <w:t>natural</w:t>
      </w:r>
      <w:r>
        <w:rPr>
          <w:rFonts w:ascii="Arial" w:cs="Arial" w:eastAsia="Arial" w:hAnsi="Arial"/>
          <w:sz w:val="24"/>
          <w:szCs w:val="24"/>
          <w:color w:val="auto"/>
        </w:rPr>
        <w:t xml:space="preserve"> just as the viola drops from Ab to G, leaving us in C minor with an added (A) sixth, and we haven’t finished the second bar yet! Even to our 21</w:t>
      </w:r>
      <w:r>
        <w:rPr>
          <w:rFonts w:ascii="Arial" w:cs="Arial" w:eastAsia="Arial" w:hAnsi="Arial"/>
          <w:sz w:val="31"/>
          <w:szCs w:val="31"/>
          <w:color w:val="auto"/>
          <w:vertAlign w:val="superscript"/>
        </w:rPr>
        <w:t>st</w:t>
      </w:r>
      <w:r>
        <w:rPr>
          <w:rFonts w:ascii="Arial" w:cs="Arial" w:eastAsia="Arial" w:hAnsi="Arial"/>
          <w:sz w:val="24"/>
          <w:szCs w:val="24"/>
          <w:color w:val="auto"/>
        </w:rPr>
        <w:t>-century ears it surprises. No wonder some early commentators suggested that Mozart’s text contained uncorrected errors. These few bars provide source material for the whole quartet: the pulsing base, staggered entries, semitone clashes and a sliding rising figure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3425190</wp:posOffset>
            </wp:positionH>
            <wp:positionV relativeFrom="paragraph">
              <wp:posOffset>-1218565</wp:posOffset>
            </wp:positionV>
            <wp:extent cx="42545" cy="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2545" cy="12065"/>
                    </a:xfrm>
                    <a:prstGeom prst="rect">
                      <a:avLst/>
                    </a:prstGeom>
                    <a:noFill/>
                  </pic:spPr>
                </pic:pic>
              </a:graphicData>
            </a:graphic>
          </wp:anchor>
        </w:drawing>
        <w:drawing>
          <wp:anchor simplePos="0" relativeHeight="251657728" behindDoc="1" locked="0" layoutInCell="0" allowOverlap="1">
            <wp:simplePos x="0" y="0"/>
            <wp:positionH relativeFrom="column">
              <wp:posOffset>4116705</wp:posOffset>
            </wp:positionH>
            <wp:positionV relativeFrom="paragraph">
              <wp:posOffset>-113665</wp:posOffset>
            </wp:positionV>
            <wp:extent cx="1943100" cy="14217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1943100" cy="1421765"/>
                    </a:xfrm>
                    <a:prstGeom prst="rect">
                      <a:avLst/>
                    </a:prstGeom>
                    <a:noFill/>
                  </pic:spPr>
                </pic:pic>
              </a:graphicData>
            </a:graphic>
          </wp:anchor>
        </w:drawing>
      </w:r>
    </w:p>
    <w:p>
      <w:pPr>
        <w:spacing w:after="0" w:line="315" w:lineRule="exact"/>
        <w:rPr>
          <w:sz w:val="24"/>
          <w:szCs w:val="24"/>
          <w:color w:val="auto"/>
        </w:rPr>
      </w:pPr>
    </w:p>
    <w:p>
      <w:pPr>
        <w:ind w:left="640" w:right="4300"/>
        <w:spacing w:after="0" w:line="339" w:lineRule="auto"/>
        <w:rPr>
          <w:sz w:val="20"/>
          <w:szCs w:val="20"/>
          <w:color w:val="auto"/>
        </w:rPr>
      </w:pPr>
      <w:r>
        <w:rPr>
          <w:rFonts w:ascii="Arial" w:cs="Arial" w:eastAsia="Arial" w:hAnsi="Arial"/>
          <w:sz w:val="23"/>
          <w:szCs w:val="23"/>
          <w:color w:val="auto"/>
        </w:rPr>
        <w:t xml:space="preserve">For example, the solidly C-major opening phrase of the </w:t>
      </w:r>
      <w:r>
        <w:rPr>
          <w:rFonts w:ascii="Arial" w:cs="Arial" w:eastAsia="Arial" w:hAnsi="Arial"/>
          <w:sz w:val="23"/>
          <w:szCs w:val="23"/>
          <w:i w:val="1"/>
          <w:iCs w:val="1"/>
          <w:color w:val="auto"/>
        </w:rPr>
        <w:t>Allegro</w:t>
      </w:r>
      <w:r>
        <w:rPr>
          <w:rFonts w:ascii="Arial" w:cs="Arial" w:eastAsia="Arial" w:hAnsi="Arial"/>
          <w:sz w:val="23"/>
          <w:szCs w:val="23"/>
          <w:color w:val="auto"/>
        </w:rPr>
        <w:t xml:space="preserve"> is a non-chromatic version of this rising figure, together with the pulsing base. Mozart uses this figure to lead us into yet more wonderfully remote keys in the development section.</w:t>
      </w:r>
    </w:p>
    <w:p>
      <w:pPr>
        <w:spacing w:after="0" w:line="211" w:lineRule="exact"/>
        <w:rPr>
          <w:sz w:val="24"/>
          <w:szCs w:val="24"/>
          <w:color w:val="auto"/>
        </w:rPr>
      </w:pPr>
    </w:p>
    <w:p>
      <w:pPr>
        <w:ind w:left="640" w:right="820"/>
        <w:spacing w:after="0" w:line="350"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opens with a tender theme on the first violin, whose ending becomes a simple little figure that the violin repeats and is each time lovingly echoed by the</w:t>
      </w:r>
    </w:p>
    <w:p>
      <w:pPr>
        <w:sectPr>
          <w:pgSz w:w="11900" w:h="16838" w:orient="portrait"/>
          <w:cols w:equalWidth="0" w:num="1">
            <w:col w:w="10380"/>
          </w:cols>
          <w:pgMar w:left="800" w:top="924" w:right="726" w:bottom="810" w:gutter="0" w:footer="0" w:header="0"/>
          <w:type w:val="continuous"/>
        </w:sectPr>
      </w:pPr>
    </w:p>
    <w:bookmarkStart w:id="1" w:name="page2"/>
    <w:bookmarkEnd w:id="1"/>
    <w:p>
      <w:pPr>
        <w:spacing w:after="0" w:line="66" w:lineRule="exact"/>
        <w:rPr>
          <w:sz w:val="20"/>
          <w:szCs w:val="20"/>
          <w:color w:val="auto"/>
        </w:rPr>
      </w:pPr>
    </w:p>
    <w:p>
      <w:pPr>
        <w:ind w:right="326"/>
        <w:spacing w:after="0" w:line="313" w:lineRule="auto"/>
        <w:rPr>
          <w:sz w:val="20"/>
          <w:szCs w:val="20"/>
          <w:color w:val="auto"/>
        </w:rPr>
      </w:pPr>
      <w:r>
        <w:rPr>
          <w:rFonts w:ascii="Arial" w:cs="Arial" w:eastAsia="Arial" w:hAnsi="Arial"/>
          <w:sz w:val="24"/>
          <w:szCs w:val="24"/>
          <w:color w:val="auto"/>
        </w:rPr>
        <w:t xml:space="preserve">cello. There is then a magic </w:t>
      </w:r>
      <w:r>
        <w:rPr>
          <w:rFonts w:ascii="Arial" w:cs="Arial" w:eastAsia="Arial" w:hAnsi="Arial"/>
          <w:sz w:val="24"/>
          <w:szCs w:val="24"/>
          <w:i w:val="1"/>
          <w:iCs w:val="1"/>
          <w:color w:val="auto"/>
        </w:rPr>
        <w:t>pianissimo</w:t>
      </w:r>
      <w:r>
        <w:rPr>
          <w:rFonts w:ascii="Arial" w:cs="Arial" w:eastAsia="Arial" w:hAnsi="Arial"/>
          <w:sz w:val="24"/>
          <w:szCs w:val="24"/>
          <w:color w:val="auto"/>
        </w:rPr>
        <w:t xml:space="preserve"> passage that, like the introduction, has a gradual build-up of instruments above the moving cello, but without its challenging dissonances. But just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1767205</wp:posOffset>
            </wp:positionH>
            <wp:positionV relativeFrom="paragraph">
              <wp:posOffset>-153035</wp:posOffset>
            </wp:positionV>
            <wp:extent cx="4000500" cy="17037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4000500" cy="1703705"/>
                    </a:xfrm>
                    <a:prstGeom prst="rect">
                      <a:avLst/>
                    </a:prstGeom>
                    <a:noFill/>
                  </pic:spPr>
                </pic:pic>
              </a:graphicData>
            </a:graphic>
          </wp:anchor>
        </w:drawing>
      </w:r>
    </w:p>
    <w:p>
      <w:pPr>
        <w:ind w:right="6466"/>
        <w:spacing w:after="0" w:line="313" w:lineRule="auto"/>
        <w:rPr>
          <w:sz w:val="20"/>
          <w:szCs w:val="20"/>
          <w:color w:val="auto"/>
        </w:rPr>
      </w:pPr>
      <w:r>
        <w:rPr>
          <w:rFonts w:ascii="Arial" w:cs="Arial" w:eastAsia="Arial" w:hAnsi="Arial"/>
          <w:sz w:val="24"/>
          <w:szCs w:val="24"/>
          <w:color w:val="auto"/>
        </w:rPr>
        <w:t xml:space="preserve">wait; when this passage returns shortly before the end of the movement, it </w:t>
      </w:r>
      <w:r>
        <w:rPr>
          <w:rFonts w:ascii="Arial" w:cs="Arial" w:eastAsia="Arial" w:hAnsi="Arial"/>
          <w:sz w:val="24"/>
          <w:szCs w:val="24"/>
          <w:i w:val="1"/>
          <w:iCs w:val="1"/>
          <w:color w:val="auto"/>
        </w:rPr>
        <w:t>crescendos</w:t>
      </w:r>
      <w:r>
        <w:rPr>
          <w:rFonts w:ascii="Arial" w:cs="Arial" w:eastAsia="Arial" w:hAnsi="Arial"/>
          <w:sz w:val="24"/>
          <w:szCs w:val="24"/>
          <w:color w:val="auto"/>
        </w:rPr>
        <w:t xml:space="preserve"> to </w:t>
      </w:r>
      <w:r>
        <w:rPr>
          <w:rFonts w:ascii="Arial" w:cs="Arial" w:eastAsia="Arial" w:hAnsi="Arial"/>
          <w:sz w:val="24"/>
          <w:szCs w:val="24"/>
          <w:i w:val="1"/>
          <w:iCs w:val="1"/>
          <w:color w:val="auto"/>
        </w:rPr>
        <w:t>forte</w:t>
      </w:r>
      <w:r>
        <w:rPr>
          <w:rFonts w:ascii="Arial" w:cs="Arial" w:eastAsia="Arial" w:hAnsi="Arial"/>
          <w:sz w:val="24"/>
          <w:szCs w:val="24"/>
          <w:color w:val="auto"/>
        </w:rPr>
        <w:t xml:space="preserve"> as</w:t>
      </w:r>
      <w:r>
        <w:rPr>
          <w:rFonts w:ascii="Arial" w:cs="Arial" w:eastAsia="Arial" w:hAnsi="Arial"/>
          <w:sz w:val="24"/>
          <w:szCs w:val="24"/>
          <w:i w:val="1"/>
          <w:iCs w:val="1"/>
          <w:color w:val="auto"/>
        </w:rPr>
        <w:t xml:space="preserve"> </w:t>
      </w:r>
      <w:r>
        <w:rPr>
          <w:rFonts w:ascii="Arial" w:cs="Arial" w:eastAsia="Arial" w:hAnsi="Arial"/>
          <w:sz w:val="24"/>
          <w:szCs w:val="24"/>
          <w:color w:val="auto"/>
        </w:rPr>
        <w:t>the first violin produces a striking semitone</w:t>
      </w:r>
    </w:p>
    <w:p>
      <w:pPr>
        <w:spacing w:after="0" w:line="1" w:lineRule="exact"/>
        <w:rPr>
          <w:sz w:val="20"/>
          <w:szCs w:val="20"/>
          <w:color w:val="auto"/>
        </w:rPr>
      </w:pPr>
    </w:p>
    <w:p>
      <w:pPr>
        <w:spacing w:after="0"/>
        <w:rPr>
          <w:sz w:val="20"/>
          <w:szCs w:val="20"/>
          <w:color w:val="auto"/>
        </w:rPr>
      </w:pPr>
      <w:r>
        <w:rPr>
          <w:rFonts w:ascii="Arial" w:cs="Arial" w:eastAsia="Arial" w:hAnsi="Arial"/>
          <w:sz w:val="24"/>
          <w:szCs w:val="24"/>
          <w:color w:val="auto"/>
        </w:rPr>
        <w:t>dissonance like the one we heard in the introduction.</w:t>
      </w:r>
    </w:p>
    <w:p>
      <w:pPr>
        <w:spacing w:after="0" w:line="358" w:lineRule="exact"/>
        <w:rPr>
          <w:sz w:val="20"/>
          <w:szCs w:val="20"/>
          <w:color w:val="auto"/>
        </w:rPr>
      </w:pPr>
    </w:p>
    <w:p>
      <w:pPr>
        <w:ind w:right="26"/>
        <w:spacing w:after="0" w:line="318"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Menuetto</w:t>
      </w:r>
      <w:r>
        <w:rPr>
          <w:rFonts w:ascii="Arial" w:cs="Arial" w:eastAsia="Arial" w:hAnsi="Arial"/>
          <w:sz w:val="24"/>
          <w:szCs w:val="24"/>
          <w:color w:val="auto"/>
        </w:rPr>
        <w:t xml:space="preserve"> is based on the chromatic sliding quavers that the first violin opens the movement with and which are also based on the asterisked (*) figure in the first musical example. The </w:t>
      </w:r>
      <w:r>
        <w:rPr>
          <w:rFonts w:ascii="Arial" w:cs="Arial" w:eastAsia="Arial" w:hAnsi="Arial"/>
          <w:sz w:val="24"/>
          <w:szCs w:val="24"/>
          <w:i w:val="1"/>
          <w:iCs w:val="1"/>
          <w:color w:val="auto"/>
        </w:rPr>
        <w:t>Trio</w:t>
      </w:r>
      <w:r>
        <w:rPr>
          <w:rFonts w:ascii="Arial" w:cs="Arial" w:eastAsia="Arial" w:hAnsi="Arial"/>
          <w:sz w:val="24"/>
          <w:szCs w:val="24"/>
          <w:color w:val="auto"/>
        </w:rPr>
        <w:t xml:space="preserve"> though starting </w:t>
      </w:r>
      <w:r>
        <w:rPr>
          <w:rFonts w:ascii="Arial" w:cs="Arial" w:eastAsia="Arial" w:hAnsi="Arial"/>
          <w:sz w:val="24"/>
          <w:szCs w:val="24"/>
          <w:i w:val="1"/>
          <w:iCs w:val="1"/>
          <w:color w:val="auto"/>
        </w:rPr>
        <w:t>piano</w:t>
      </w:r>
      <w:r>
        <w:rPr>
          <w:rFonts w:ascii="Arial" w:cs="Arial" w:eastAsia="Arial" w:hAnsi="Arial"/>
          <w:sz w:val="24"/>
          <w:szCs w:val="24"/>
          <w:color w:val="auto"/>
        </w:rPr>
        <w:t xml:space="preserve"> is in an irate C minor, with incessant accompanying repeated quavers and </w:t>
      </w:r>
      <w:r>
        <w:rPr>
          <w:rFonts w:ascii="Arial" w:cs="Arial" w:eastAsia="Arial" w:hAnsi="Arial"/>
          <w:sz w:val="24"/>
          <w:szCs w:val="24"/>
          <w:i w:val="1"/>
          <w:iCs w:val="1"/>
          <w:color w:val="auto"/>
        </w:rPr>
        <w:t>forte</w:t>
      </w:r>
      <w:r>
        <w:rPr>
          <w:rFonts w:ascii="Arial" w:cs="Arial" w:eastAsia="Arial" w:hAnsi="Arial"/>
          <w:sz w:val="24"/>
          <w:szCs w:val="24"/>
          <w:color w:val="auto"/>
        </w:rPr>
        <w:t xml:space="preserve"> outbursts. The sun returns in the last movement, whose opening theme again includes those rising, sliding semitones. All the instruments enjoy the contrapuntal fun of this movement, and then as the piece is ending, the </w:t>
      </w:r>
      <w:r>
        <w:rPr>
          <w:rFonts w:ascii="Arial" w:cs="Arial" w:eastAsia="Arial" w:hAnsi="Arial"/>
          <w:sz w:val="24"/>
          <w:szCs w:val="24"/>
          <w:i w:val="1"/>
          <w:iCs w:val="1"/>
          <w:color w:val="auto"/>
        </w:rPr>
        <w:t>coda</w:t>
      </w:r>
      <w:r>
        <w:rPr>
          <w:rFonts w:ascii="Arial" w:cs="Arial" w:eastAsia="Arial" w:hAnsi="Arial"/>
          <w:sz w:val="24"/>
          <w:szCs w:val="24"/>
          <w:color w:val="auto"/>
        </w:rPr>
        <w:t xml:space="preserve"> shows us, as in so many of Mozart’s works, just a few of the other things he </w:t>
      </w:r>
      <w:r>
        <w:rPr>
          <w:rFonts w:ascii="Arial" w:cs="Arial" w:eastAsia="Arial" w:hAnsi="Arial"/>
          <w:sz w:val="24"/>
          <w:szCs w:val="24"/>
          <w:i w:val="1"/>
          <w:iCs w:val="1"/>
          <w:color w:val="auto"/>
        </w:rPr>
        <w:t>could</w:t>
      </w:r>
      <w:r>
        <w:rPr>
          <w:rFonts w:ascii="Arial" w:cs="Arial" w:eastAsia="Arial" w:hAnsi="Arial"/>
          <w:sz w:val="24"/>
          <w:szCs w:val="24"/>
          <w:color w:val="auto"/>
        </w:rPr>
        <w:t xml:space="preserve"> have done with this material.</w:t>
      </w:r>
    </w:p>
    <w:p>
      <w:pPr>
        <w:spacing w:after="0" w:line="233" w:lineRule="exact"/>
        <w:rPr>
          <w:sz w:val="20"/>
          <w:szCs w:val="20"/>
          <w:color w:val="auto"/>
        </w:rPr>
      </w:pPr>
    </w:p>
    <w:p>
      <w:pPr>
        <w:ind w:right="86"/>
        <w:spacing w:after="0" w:line="322" w:lineRule="auto"/>
        <w:rPr>
          <w:sz w:val="20"/>
          <w:szCs w:val="20"/>
          <w:color w:val="auto"/>
        </w:rPr>
      </w:pPr>
      <w:r>
        <w:rPr>
          <w:rFonts w:ascii="Arial" w:cs="Arial" w:eastAsia="Arial" w:hAnsi="Arial"/>
          <w:sz w:val="24"/>
          <w:szCs w:val="24"/>
          <w:color w:val="auto"/>
        </w:rPr>
        <w:t>One of the joys of playing this set of quartets for a violinist / violist is to take a different inner part of a quartet that you thought you knew well, and discover the exquisite detail that Mozart produced in his “</w:t>
      </w:r>
      <w:r>
        <w:rPr>
          <w:rFonts w:ascii="Arial" w:cs="Arial" w:eastAsia="Arial" w:hAnsi="Arial"/>
          <w:sz w:val="24"/>
          <w:szCs w:val="24"/>
          <w:i w:val="1"/>
          <w:iCs w:val="1"/>
          <w:color w:val="auto"/>
        </w:rPr>
        <w:t>long and laborious study</w:t>
      </w:r>
      <w:r>
        <w:rPr>
          <w:rFonts w:ascii="Arial" w:cs="Arial" w:eastAsia="Arial" w:hAnsi="Arial"/>
          <w:sz w:val="24"/>
          <w:szCs w:val="24"/>
          <w:color w:val="auto"/>
        </w:rPr>
        <w:t>”. As you listen to this piece try following one of the inner parts and hear why string players are so grateful to Haydn for stimulating Mozart to write these quartets!</w:t>
      </w:r>
    </w:p>
    <w:sectPr>
      <w:pgSz w:w="11900" w:h="16838" w:orient="portrait"/>
      <w:cols w:equalWidth="0" w:num="1">
        <w:col w:w="9026"/>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2025-01-18T11:56:21Z</dcterms:created>
  <dcterms:modified xsi:type="dcterms:W3CDTF">2025-01-18T11:56:21Z</dcterms:modified>
</cp:coreProperties>
</file>