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end="0"/>
        <w:jc w:val="start"/>
        <w:rPr>
          <w:color w:val="auto"/>
          <w:sz w:val="20"/>
          <w:szCs w:val="20"/>
        </w:rPr>
      </w:pPr>
      <w:r>
        <w:rPr>
          <w:rFonts w:ascii="Arial" w:hAnsi="Arial"/>
          <w:b/>
          <w:bCs/>
          <w:sz w:val="24"/>
          <w:szCs w:val="24"/>
        </w:rPr>
        <w:t>Programme notes by Chris Darwin; use freely for non-commercial purposes.</w:t>
      </w:r>
    </w:p>
    <w:p>
      <w:pPr>
        <w:pStyle w:val="Normal"/>
        <w:bidi w:val="0"/>
        <w:spacing w:lineRule="auto" w:line="240" w:before="0" w:after="0"/>
        <w:ind w:end="0"/>
        <w:jc w:val="start"/>
        <w:rPr>
          <w:color w:val="auto"/>
          <w:sz w:val="20"/>
          <w:szCs w:val="20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end="0"/>
        <w:jc w:val="start"/>
        <w:rPr>
          <w:color w:val="auto"/>
          <w:sz w:val="20"/>
          <w:szCs w:val="20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end="0"/>
        <w:jc w:val="start"/>
        <w:rPr>
          <w:color w:val="auto"/>
          <w:sz w:val="20"/>
          <w:szCs w:val="20"/>
        </w:rPr>
      </w:pPr>
      <w:r>
        <w:rPr>
          <w:rFonts w:ascii="Arial" w:hAnsi="Arial"/>
          <w:b/>
          <w:bCs/>
          <w:sz w:val="24"/>
          <w:szCs w:val="24"/>
        </w:rPr>
        <w:t xml:space="preserve">Ludwig van Beethoven (1770-1827) Piano Trio in </w:t>
      </w:r>
      <w:r>
        <w:rPr>
          <w:rFonts w:ascii="Arial" w:hAnsi="Arial"/>
          <w:b/>
          <w:bCs/>
          <w:sz w:val="24"/>
          <w:szCs w:val="24"/>
        </w:rPr>
        <w:t>B</w:t>
      </w:r>
      <w:r>
        <w:rPr>
          <w:rFonts w:ascii="Arial" w:hAnsi="Arial"/>
          <w:b/>
          <w:bCs/>
          <w:sz w:val="24"/>
          <w:szCs w:val="24"/>
        </w:rPr>
        <w:t xml:space="preserve"> flat Op 11 (179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>) ‘</w:t>
      </w:r>
      <w:r>
        <w:rPr>
          <w:rFonts w:ascii="Arial" w:hAnsi="Arial"/>
          <w:b/>
          <w:bCs/>
          <w:i/>
          <w:iCs/>
          <w:sz w:val="24"/>
          <w:szCs w:val="24"/>
        </w:rPr>
        <w:t>Gassenhauer’</w:t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Allegro con brio</w:t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Adagio</w:t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Thema: ‘Pria ch’io l’impegno’ &amp; Variations</w:t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This genial trio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was originally composed for clarinet, cello and piano, although Beethoven included an almost literal transcription of the clarinet part for violin as an alternative.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Clarinets were still rather new, and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their possibilities and limitations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provided an interesting challenge for the composer, but a conventional piano trio would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probably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sell better.  It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is one of only a handful of Beethoven’s early works involving wind which rate as serious works.  Most are the lighter wind-band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Tafelmusik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that he rather apologetically sent to publishers when he needed the money.  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This trio is certainly substantial and benefits from Beethoven’s experience of writing his three Op 1 piano trios two or three years earlier.</w:t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The work is dedicated to Countess Maria von Thun, mother-in-law to two of his patrons – the Princes Lichnowsky and Razumovsky.  Angus Watson suggests it might have been a peace offering, since Beethoven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could treat the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eccentric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Countess discourteously:  she is reported to have been seen on her knees unsuccessfully begging Beethoven,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sat on the sofa,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3523615</wp:posOffset>
            </wp:positionH>
            <wp:positionV relativeFrom="paragraph">
              <wp:posOffset>857885</wp:posOffset>
            </wp:positionV>
            <wp:extent cx="3007995" cy="66675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to play for her.</w:t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The work is in the clarinet-friendly key of Bb, and the bold opening unison (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illustrated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) shows off an assertive range of the clarinet (and challenges the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substitute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violin’s E-string to match it!). 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The second group of themes has a version of this opening m</w:t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3288030</wp:posOffset>
            </wp:positionH>
            <wp:positionV relativeFrom="paragraph">
              <wp:posOffset>732155</wp:posOffset>
            </wp:positionV>
            <wp:extent cx="3315970" cy="58166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otif whose jaunty syncopation (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illustrated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) anticipates the theme for the last movement variations.</w:t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The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cello sings the opening theme to the </w:t>
      </w: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3449955</wp:posOffset>
            </wp:positionH>
            <wp:positionV relativeFrom="paragraph">
              <wp:posOffset>237490</wp:posOffset>
            </wp:positionV>
            <wp:extent cx="3064510" cy="654685"/>
            <wp:effectExtent l="0" t="0" r="0" b="0"/>
            <wp:wrapSquare wrapText="largest"/>
            <wp:docPr id="3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eloquent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Adagio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(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illustrated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).  It closely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resembles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the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theme of the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Menuet of Beethoven’s very successful Septet Op 20 which he wrote two years later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and also that of the (‘Easy’) Op 49 no 2 Piano Sonata from 1795.</w:t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3935730</wp:posOffset>
            </wp:positionH>
            <wp:positionV relativeFrom="paragraph">
              <wp:posOffset>177800</wp:posOffset>
            </wp:positionV>
            <wp:extent cx="2392680" cy="559435"/>
            <wp:effectExtent l="0" t="0" r="0" b="0"/>
            <wp:wrapSquare wrapText="largest"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The theme to the last movement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(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illustrated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)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was suggested to Beethoven by the clarinetist Josef Berr.  It comes from a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light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opera by Joseph Weigl </w:t>
      </w:r>
      <w:r>
        <w:rPr>
          <w:rStyle w:val="Emphasis"/>
          <w:rFonts w:ascii="Google Sans;Arial;sans-serif" w:hAnsi="Google Sans;Arial;sans-serif"/>
          <w:b w:val="false"/>
          <w:i/>
          <w:color w:val="0A0A0A"/>
          <w:spacing w:val="0"/>
          <w:sz w:val="24"/>
        </w:rPr>
        <w:t>L'amor marinaro</w:t>
      </w:r>
      <w:r>
        <w:rPr>
          <w:rStyle w:val="Emphasis"/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 xml:space="preserve"> </w:t>
      </w:r>
      <w:r>
        <w:rPr>
          <w:rStyle w:val="Emphasis"/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and it</w:t>
      </w:r>
      <w:r>
        <w:rPr>
          <w:rStyle w:val="Emphasis"/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s</w:t>
      </w:r>
      <w:r>
        <w:rPr>
          <w:rStyle w:val="Emphasis"/>
          <w:rFonts w:ascii="Google Sans;Arial;sans-serif" w:hAnsi="Google Sans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 xml:space="preserve"> words translate roughly as “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Before I get down to work, I must have something to eat”.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It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had become wildly popular, being whistled on the streets - a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Gassenhauer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(a popular hit or earworm today).  When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Beethoven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realised this, he toyed with substituting a theme of his own, such was his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fear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of his music becoming popular.  </w:t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end="0"/>
        <w:jc w:val="start"/>
        <w:rPr>
          <w:b w:val="false"/>
          <w:bCs w:val="false"/>
          <w:i/>
          <w:iCs/>
          <w:color w:val="auto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My debt to Angus Watson for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my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plundering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his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“Beethoven’s Chamber Music in Context”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is gratefully acknowledged.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Google Sans">
    <w:altName w:val="Arial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en-GB" w:eastAsia="zh-CN" w:bidi="hi-IN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LibreOffice/25.8.4.2$MacOSX_X86_64 LibreOffice_project/290daaa01b999472f0c7a3890eb6a550fd74c6df</Application>
  <AppVersion>15.0000</AppVersion>
  <Pages>1</Pages>
  <Words>409</Words>
  <Characters>2123</Characters>
  <CharactersWithSpaces>2534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2026-01-22T15:03:37Z</dcterms:created>
  <dc:creator/>
  <dc:description/>
  <dc:language>en-GB</dc:language>
  <cp:lastModifiedBy/>
  <dcterms:modified xsi:type="dcterms:W3CDTF">2026-01-22T15:05:48Z</dcterms:modified>
  <cp:revision>1</cp:revision>
  <dc:subject/>
  <dc:title/>
</cp:coreProperties>
</file>